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38" w:rsidRDefault="00B96D18" w:rsidP="00404838">
      <w:pPr>
        <w:pStyle w:val="a3"/>
        <w:shd w:val="clear" w:color="auto" w:fill="FFFFFF"/>
        <w:spacing w:after="0"/>
        <w:jc w:val="center"/>
        <w:textAlignment w:val="baseline"/>
        <w:rPr>
          <w:rFonts w:ascii="ProbaProRegular" w:hAnsi="ProbaProRegular"/>
          <w:b/>
          <w:color w:val="1D1D1B"/>
          <w:lang w:val="uk-UA"/>
        </w:rPr>
      </w:pPr>
      <w:r w:rsidRPr="00B96D18">
        <w:rPr>
          <w:rFonts w:ascii="ProbaProRegular" w:hAnsi="ProbaProRegular"/>
          <w:b/>
          <w:color w:val="1D1D1B"/>
          <w:lang w:val="uk-UA"/>
        </w:rPr>
        <w:t xml:space="preserve">Початок роботи щодо розроблення </w:t>
      </w:r>
      <w:r>
        <w:rPr>
          <w:rFonts w:ascii="ProbaProRegular" w:hAnsi="ProbaProRegular"/>
          <w:b/>
          <w:color w:val="1D1D1B"/>
          <w:lang w:val="uk-UA"/>
        </w:rPr>
        <w:t xml:space="preserve"> </w:t>
      </w:r>
      <w:r w:rsidRPr="00B96D18">
        <w:rPr>
          <w:rFonts w:ascii="ProbaProRegular" w:hAnsi="ProbaProRegular"/>
          <w:b/>
          <w:color w:val="1D1D1B"/>
          <w:lang w:val="uk-UA"/>
        </w:rPr>
        <w:t xml:space="preserve"> </w:t>
      </w:r>
    </w:p>
    <w:p w:rsidR="00404838" w:rsidRPr="00404838" w:rsidRDefault="00404838" w:rsidP="00404838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ProbaProRegular" w:hAnsi="ProbaProRegular"/>
          <w:b/>
          <w:color w:val="1D1D1B"/>
          <w:lang w:val="uk-UA"/>
        </w:rPr>
      </w:pPr>
      <w:r>
        <w:rPr>
          <w:rFonts w:ascii="ProbaProRegular" w:hAnsi="ProbaProRegular"/>
          <w:b/>
          <w:color w:val="1D1D1B"/>
          <w:lang w:val="uk-UA"/>
        </w:rPr>
        <w:t xml:space="preserve">Стратегічного плану </w:t>
      </w:r>
      <w:r w:rsidRPr="00404838">
        <w:rPr>
          <w:rFonts w:ascii="ProbaProRegular" w:hAnsi="ProbaProRegular"/>
          <w:b/>
          <w:color w:val="1D1D1B"/>
          <w:lang w:val="uk-UA"/>
        </w:rPr>
        <w:t xml:space="preserve">відновлення та розвитку </w:t>
      </w:r>
      <w:proofErr w:type="spellStart"/>
      <w:r w:rsidRPr="00404838">
        <w:rPr>
          <w:rFonts w:ascii="ProbaProRegular" w:hAnsi="ProbaProRegular"/>
          <w:b/>
          <w:color w:val="1D1D1B"/>
          <w:lang w:val="uk-UA"/>
        </w:rPr>
        <w:t>Мирненської</w:t>
      </w:r>
      <w:proofErr w:type="spellEnd"/>
      <w:r w:rsidRPr="00404838">
        <w:rPr>
          <w:rFonts w:ascii="ProbaProRegular" w:hAnsi="ProbaProRegular"/>
          <w:b/>
          <w:color w:val="1D1D1B"/>
          <w:lang w:val="uk-UA"/>
        </w:rPr>
        <w:t xml:space="preserve"> селищної  територіальної громади  Волноваського району Донецької області  на період до 2027 року</w:t>
      </w:r>
    </w:p>
    <w:p w:rsidR="00B96D18" w:rsidRPr="00B96D18" w:rsidRDefault="00404838" w:rsidP="00B96D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Regular" w:hAnsi="ProbaProRegular"/>
          <w:color w:val="1D1D1B"/>
          <w:lang w:val="uk-UA"/>
        </w:rPr>
      </w:pPr>
      <w:r>
        <w:rPr>
          <w:rFonts w:ascii="ProbaProRegular" w:hAnsi="ProbaProRegular"/>
          <w:color w:val="1D1D1B"/>
          <w:lang w:val="uk-UA"/>
        </w:rPr>
        <w:tab/>
      </w:r>
      <w:proofErr w:type="spellStart"/>
      <w:r>
        <w:rPr>
          <w:rFonts w:ascii="ProbaProRegular" w:hAnsi="ProbaProRegular"/>
          <w:color w:val="1D1D1B"/>
          <w:lang w:val="uk-UA"/>
        </w:rPr>
        <w:t>Мирненська</w:t>
      </w:r>
      <w:proofErr w:type="spellEnd"/>
      <w:r>
        <w:rPr>
          <w:rFonts w:ascii="ProbaProRegular" w:hAnsi="ProbaProRegular"/>
          <w:color w:val="1D1D1B"/>
          <w:lang w:val="uk-UA"/>
        </w:rPr>
        <w:t xml:space="preserve"> селищна військова адміністрац</w:t>
      </w:r>
      <w:r w:rsidR="00B96D18" w:rsidRPr="00B96D18">
        <w:rPr>
          <w:rFonts w:ascii="ProbaProRegular" w:hAnsi="ProbaProRegular"/>
          <w:color w:val="1D1D1B"/>
          <w:lang w:val="uk-UA"/>
        </w:rPr>
        <w:t>ія</w:t>
      </w:r>
      <w:r>
        <w:rPr>
          <w:rFonts w:ascii="ProbaProRegular" w:hAnsi="ProbaProRegular"/>
          <w:color w:val="1D1D1B"/>
          <w:lang w:val="uk-UA"/>
        </w:rPr>
        <w:t xml:space="preserve"> Волноваського району Донецької області 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 інформує про початок роботи щодо розроблення </w:t>
      </w:r>
      <w:r w:rsidRPr="00404838">
        <w:rPr>
          <w:rFonts w:ascii="ProbaProRegular" w:hAnsi="ProbaProRegular"/>
          <w:color w:val="1D1D1B"/>
          <w:lang w:val="uk-UA"/>
        </w:rPr>
        <w:t xml:space="preserve">Стратегічного плану відновлення та розвитку </w:t>
      </w:r>
      <w:proofErr w:type="spellStart"/>
      <w:r w:rsidRPr="00404838">
        <w:rPr>
          <w:rFonts w:ascii="ProbaProRegular" w:hAnsi="ProbaProRegular"/>
          <w:color w:val="1D1D1B"/>
          <w:lang w:val="uk-UA"/>
        </w:rPr>
        <w:t>Мирненської</w:t>
      </w:r>
      <w:proofErr w:type="spellEnd"/>
      <w:r w:rsidRPr="00404838">
        <w:rPr>
          <w:rFonts w:ascii="ProbaProRegular" w:hAnsi="ProbaProRegular"/>
          <w:color w:val="1D1D1B"/>
          <w:lang w:val="uk-UA"/>
        </w:rPr>
        <w:t xml:space="preserve"> селищної  територіальної громади  Волноваського району Донецької області  на період до 2027 року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, </w:t>
      </w:r>
      <w:r>
        <w:rPr>
          <w:rFonts w:ascii="ProbaProRegular" w:hAnsi="ProbaProRegular"/>
          <w:color w:val="1D1D1B"/>
          <w:lang w:val="uk-UA"/>
        </w:rPr>
        <w:t xml:space="preserve"> 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(далі – Стратегія), та плану заходів з </w:t>
      </w:r>
      <w:r>
        <w:rPr>
          <w:rFonts w:ascii="ProbaProRegular" w:hAnsi="ProbaProRegular"/>
          <w:color w:val="1D1D1B"/>
          <w:lang w:val="uk-UA"/>
        </w:rPr>
        <w:t>його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 реалізації на 202</w:t>
      </w:r>
      <w:r>
        <w:rPr>
          <w:rFonts w:ascii="ProbaProRegular" w:hAnsi="ProbaProRegular"/>
          <w:color w:val="1D1D1B"/>
          <w:lang w:val="uk-UA"/>
        </w:rPr>
        <w:t>6</w:t>
      </w:r>
      <w:r w:rsidR="00B96D18" w:rsidRPr="00B96D18">
        <w:rPr>
          <w:rFonts w:ascii="ProbaProRegular" w:hAnsi="ProbaProRegular"/>
          <w:color w:val="1D1D1B"/>
          <w:lang w:val="uk-UA"/>
        </w:rPr>
        <w:t>-2027 роки (далі – план заходів).</w:t>
      </w:r>
    </w:p>
    <w:p w:rsidR="00B96D18" w:rsidRPr="00B96D18" w:rsidRDefault="00404838" w:rsidP="00B96D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Regular" w:hAnsi="ProbaProRegular"/>
          <w:color w:val="1D1D1B"/>
          <w:lang w:val="uk-UA"/>
        </w:rPr>
      </w:pPr>
      <w:r>
        <w:rPr>
          <w:rFonts w:ascii="ProbaProRegular" w:hAnsi="ProbaProRegular"/>
          <w:color w:val="1D1D1B"/>
          <w:lang w:val="uk-UA"/>
        </w:rPr>
        <w:tab/>
        <w:t xml:space="preserve">Підготовка 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Стратегії зумовлена необхідністю врахування наслідків повномасштабного вторгнення 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рф</w:t>
      </w:r>
      <w:proofErr w:type="spellEnd"/>
      <w:r w:rsidR="00B96D18" w:rsidRPr="00B96D18">
        <w:rPr>
          <w:rFonts w:ascii="ProbaProRegular" w:hAnsi="ProbaProRegular"/>
          <w:color w:val="1D1D1B"/>
          <w:lang w:val="uk-UA"/>
        </w:rPr>
        <w:t xml:space="preserve"> на територію України та їх впливу на територіальн</w:t>
      </w:r>
      <w:r>
        <w:rPr>
          <w:rFonts w:ascii="ProbaProRegular" w:hAnsi="ProbaProRegular"/>
          <w:color w:val="1D1D1B"/>
          <w:lang w:val="uk-UA"/>
        </w:rPr>
        <w:t>у громаду</w:t>
      </w:r>
      <w:r w:rsidR="00B96D18" w:rsidRPr="00B96D18">
        <w:rPr>
          <w:rFonts w:ascii="ProbaProRegular" w:hAnsi="ProbaProRegular"/>
          <w:color w:val="1D1D1B"/>
          <w:lang w:val="uk-UA"/>
        </w:rPr>
        <w:t>, підвищення безпеки та стійкості до зовнішніх чинників, а також набуття Україною статусу кандидата на членство в ЄС.</w:t>
      </w:r>
    </w:p>
    <w:p w:rsidR="00404838" w:rsidRDefault="00404838" w:rsidP="00B96D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Regular" w:hAnsi="ProbaProRegular"/>
          <w:color w:val="1D1D1B"/>
          <w:lang w:val="uk-UA"/>
        </w:rPr>
      </w:pPr>
      <w:r>
        <w:rPr>
          <w:rFonts w:ascii="ProbaProRegular" w:hAnsi="ProbaProRegular"/>
          <w:color w:val="1D1D1B"/>
          <w:lang w:val="uk-UA"/>
        </w:rPr>
        <w:tab/>
      </w:r>
      <w:r w:rsidR="00B96D18" w:rsidRPr="00B96D18">
        <w:rPr>
          <w:rFonts w:ascii="ProbaProRegular" w:hAnsi="ProbaProRegular"/>
          <w:color w:val="1D1D1B"/>
          <w:lang w:val="uk-UA"/>
        </w:rPr>
        <w:t xml:space="preserve">З метою врахування інтересів суб’єктів державної </w:t>
      </w:r>
      <w:r>
        <w:rPr>
          <w:rFonts w:ascii="ProbaProRegular" w:hAnsi="ProbaProRegular"/>
          <w:color w:val="1D1D1B"/>
          <w:lang w:val="uk-UA"/>
        </w:rPr>
        <w:t xml:space="preserve">та 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регіональної політики, а також представників заінтересованих сторін та 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вигодонабувачів</w:t>
      </w:r>
      <w:proofErr w:type="spellEnd"/>
      <w:r w:rsidR="00B96D18" w:rsidRPr="00B96D18">
        <w:rPr>
          <w:rFonts w:ascii="ProbaProRegular" w:hAnsi="ProbaProRegular"/>
          <w:color w:val="1D1D1B"/>
          <w:lang w:val="uk-UA"/>
        </w:rPr>
        <w:t xml:space="preserve"> (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бенефіціарів</w:t>
      </w:r>
      <w:proofErr w:type="spellEnd"/>
      <w:r w:rsidR="00B96D18" w:rsidRPr="00B96D18">
        <w:rPr>
          <w:rFonts w:ascii="ProbaProRegular" w:hAnsi="ProbaProRegular"/>
          <w:color w:val="1D1D1B"/>
          <w:lang w:val="uk-UA"/>
        </w:rPr>
        <w:t xml:space="preserve">) запрошуємо усіх зацікавлених осіб долучитись до роботи над </w:t>
      </w:r>
      <w:r>
        <w:rPr>
          <w:rFonts w:ascii="ProbaProRegular" w:hAnsi="ProbaProRegular"/>
          <w:color w:val="1D1D1B"/>
          <w:lang w:val="uk-UA"/>
        </w:rPr>
        <w:t xml:space="preserve">наданням пропозицій до </w:t>
      </w:r>
      <w:r w:rsidR="00B96D18" w:rsidRPr="00B96D18">
        <w:rPr>
          <w:rFonts w:ascii="ProbaProRegular" w:hAnsi="ProbaProRegular"/>
          <w:color w:val="1D1D1B"/>
          <w:lang w:val="uk-UA"/>
        </w:rPr>
        <w:t>Стратегії та розробкою плану заходів та у термін </w:t>
      </w:r>
      <w:r w:rsidR="00B96D18" w:rsidRPr="00B96D18">
        <w:rPr>
          <w:rStyle w:val="a4"/>
          <w:rFonts w:ascii="ProbaProRegular" w:hAnsi="ProbaProRegular"/>
          <w:color w:val="1D1D1B"/>
          <w:bdr w:val="none" w:sz="0" w:space="0" w:color="auto" w:frame="1"/>
          <w:lang w:val="uk-UA"/>
        </w:rPr>
        <w:t>до 20 </w:t>
      </w:r>
      <w:r>
        <w:rPr>
          <w:rStyle w:val="a4"/>
          <w:rFonts w:ascii="ProbaProRegular" w:hAnsi="ProbaProRegular"/>
          <w:color w:val="1D1D1B"/>
          <w:bdr w:val="none" w:sz="0" w:space="0" w:color="auto" w:frame="1"/>
          <w:lang w:val="uk-UA"/>
        </w:rPr>
        <w:t>березня 2026</w:t>
      </w:r>
      <w:r w:rsidR="00B96D18" w:rsidRPr="00B96D18">
        <w:rPr>
          <w:rStyle w:val="a4"/>
          <w:rFonts w:ascii="ProbaProRegular" w:hAnsi="ProbaProRegular"/>
          <w:color w:val="1D1D1B"/>
          <w:bdr w:val="none" w:sz="0" w:space="0" w:color="auto" w:frame="1"/>
          <w:lang w:val="uk-UA"/>
        </w:rPr>
        <w:t xml:space="preserve"> року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 надати </w:t>
      </w:r>
      <w:r>
        <w:rPr>
          <w:rFonts w:ascii="ProbaProRegular" w:hAnsi="ProbaProRegular"/>
          <w:color w:val="1D1D1B"/>
          <w:lang w:val="uk-UA"/>
        </w:rPr>
        <w:t xml:space="preserve"> </w:t>
      </w:r>
    </w:p>
    <w:p w:rsidR="00B96D18" w:rsidRPr="00B96D18" w:rsidRDefault="00404838" w:rsidP="00B96D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Regular" w:hAnsi="ProbaProRegular"/>
          <w:color w:val="1D1D1B"/>
          <w:lang w:val="uk-UA"/>
        </w:rPr>
      </w:pPr>
      <w:proofErr w:type="spellStart"/>
      <w:r>
        <w:rPr>
          <w:rFonts w:ascii="ProbaProRegular" w:hAnsi="ProbaProRegular"/>
          <w:color w:val="1D1D1B"/>
          <w:lang w:val="uk-UA"/>
        </w:rPr>
        <w:t>Мирненській</w:t>
      </w:r>
      <w:proofErr w:type="spellEnd"/>
      <w:r>
        <w:rPr>
          <w:rFonts w:ascii="ProbaProRegular" w:hAnsi="ProbaProRegular"/>
          <w:color w:val="1D1D1B"/>
          <w:lang w:val="uk-UA"/>
        </w:rPr>
        <w:t xml:space="preserve"> селищній військовій адміністрації 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 (e-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mail</w:t>
      </w:r>
      <w:proofErr w:type="spellEnd"/>
      <w:r w:rsidR="00B96D18" w:rsidRPr="00B96D18">
        <w:rPr>
          <w:rFonts w:ascii="ProbaProRegular" w:hAnsi="ProbaProRegular"/>
          <w:color w:val="1D1D1B"/>
          <w:lang w:val="uk-UA"/>
        </w:rPr>
        <w:t>: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 </w:t>
      </w:r>
      <w:r w:rsidRPr="00404838">
        <w:rPr>
          <w:rFonts w:ascii="ProbaProRegular" w:hAnsi="ProbaProRegular"/>
          <w:color w:val="1D1D1B"/>
          <w:lang w:val="uk-UA"/>
        </w:rPr>
        <w:t>myrnenska.vc</w:t>
      </w:r>
      <w:proofErr w:type="spellEnd"/>
      <w:r w:rsidRPr="00404838">
        <w:rPr>
          <w:rFonts w:ascii="ProbaProRegular" w:hAnsi="ProbaProRegular"/>
          <w:color w:val="1D1D1B"/>
          <w:lang w:val="uk-UA"/>
        </w:rPr>
        <w:t>a@dn.gov.ua</w:t>
      </w:r>
      <w:r w:rsidR="00B96D18" w:rsidRPr="00B96D18">
        <w:rPr>
          <w:rFonts w:ascii="ProbaProRegular" w:hAnsi="ProbaProRegular"/>
          <w:color w:val="1D1D1B"/>
          <w:lang w:val="uk-UA"/>
        </w:rPr>
        <w:t xml:space="preserve">) </w:t>
      </w:r>
      <w:proofErr w:type="spellStart"/>
      <w:r w:rsidR="00B96D18" w:rsidRPr="00B96D18">
        <w:rPr>
          <w:rFonts w:ascii="ProbaProRegular" w:hAnsi="ProbaProRegular"/>
          <w:color w:val="1D1D1B"/>
          <w:lang w:val="uk-UA"/>
        </w:rPr>
        <w:t>пропозиції</w:t>
      </w:r>
      <w:proofErr w:type="spellEnd"/>
      <w:r w:rsidR="00B96D18" w:rsidRPr="00B96D18">
        <w:rPr>
          <w:rFonts w:ascii="ProbaProRegular" w:hAnsi="ProbaProRegular"/>
          <w:color w:val="1D1D1B"/>
          <w:lang w:val="uk-UA"/>
        </w:rPr>
        <w:t xml:space="preserve"> щодо визначення оперативних цілей Стратегії та завдань для їх досягнення відповідно до додатку 1 з метою їх  доповнення у разі необхідності, та ідеї проектів регіонального розвитку для розробки плану заходів згідно з додатком 2.</w:t>
      </w:r>
    </w:p>
    <w:p w:rsidR="00B96D18" w:rsidRPr="00404838" w:rsidRDefault="00B96D18">
      <w:pPr>
        <w:rPr>
          <w:lang w:val="uk-UA"/>
        </w:rPr>
      </w:pPr>
    </w:p>
    <w:p w:rsidR="00B96D18" w:rsidRDefault="00B96D18" w:rsidP="00B96D18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val="uk-UA" w:eastAsia="ru-RU"/>
        </w:rPr>
      </w:pPr>
      <w:proofErr w:type="spellStart"/>
      <w:r w:rsidRPr="00B96D1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Орієн</w:t>
      </w:r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товний</w:t>
      </w:r>
      <w:proofErr w:type="spellEnd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 xml:space="preserve"> план </w:t>
      </w:r>
      <w:proofErr w:type="spellStart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роботи</w:t>
      </w:r>
      <w:proofErr w:type="spellEnd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над</w:t>
      </w:r>
      <w:proofErr w:type="gramEnd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404838" w:rsidRPr="0040483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проєктом</w:t>
      </w:r>
      <w:proofErr w:type="spellEnd"/>
      <w:r w:rsidRPr="00B96D1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96D18"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eastAsia="ru-RU"/>
        </w:rPr>
        <w:t>Стратегії</w:t>
      </w:r>
      <w:proofErr w:type="spellEnd"/>
    </w:p>
    <w:p w:rsidR="00404838" w:rsidRPr="00404838" w:rsidRDefault="00404838" w:rsidP="00B96D18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u w:val="single"/>
          <w:bdr w:val="none" w:sz="0" w:space="0" w:color="auto" w:frame="1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04838" w:rsidRPr="00404838" w:rsidTr="00404838">
        <w:tc>
          <w:tcPr>
            <w:tcW w:w="959" w:type="dxa"/>
          </w:tcPr>
          <w:p w:rsidR="00404838" w:rsidRPr="00404838" w:rsidRDefault="00404838" w:rsidP="0040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п/н</w:t>
            </w:r>
          </w:p>
        </w:tc>
        <w:tc>
          <w:tcPr>
            <w:tcW w:w="5421" w:type="dxa"/>
          </w:tcPr>
          <w:p w:rsidR="00404838" w:rsidRPr="00404838" w:rsidRDefault="00404838" w:rsidP="0040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роботи</w:t>
            </w:r>
          </w:p>
        </w:tc>
        <w:tc>
          <w:tcPr>
            <w:tcW w:w="3191" w:type="dxa"/>
          </w:tcPr>
          <w:p w:rsidR="00404838" w:rsidRPr="00404838" w:rsidRDefault="00404838" w:rsidP="0040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термін</w:t>
            </w:r>
          </w:p>
        </w:tc>
      </w:tr>
      <w:tr w:rsidR="00404838" w:rsidRPr="005D2361" w:rsidTr="00404838">
        <w:tc>
          <w:tcPr>
            <w:tcW w:w="959" w:type="dxa"/>
          </w:tcPr>
          <w:p w:rsidR="00404838" w:rsidRPr="005D2361" w:rsidRDefault="00404838" w:rsidP="00ED07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421" w:type="dxa"/>
          </w:tcPr>
          <w:p w:rsidR="00404838" w:rsidRPr="005D2361" w:rsidRDefault="00404838" w:rsidP="005D23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 пропозицій та ініціатив </w:t>
            </w:r>
            <w:r w:rsid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Стратегії та розробки плану заходів</w:t>
            </w:r>
          </w:p>
        </w:tc>
        <w:tc>
          <w:tcPr>
            <w:tcW w:w="3191" w:type="dxa"/>
          </w:tcPr>
          <w:p w:rsidR="00404838" w:rsidRPr="005D2361" w:rsidRDefault="005D2361" w:rsidP="005D23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04838"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березня 2026</w:t>
            </w:r>
            <w:r w:rsidR="00404838"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5D2361" w:rsidRPr="005D2361" w:rsidTr="00404838">
        <w:tc>
          <w:tcPr>
            <w:tcW w:w="959" w:type="dxa"/>
          </w:tcPr>
          <w:p w:rsidR="005D2361" w:rsidRPr="005D2361" w:rsidRDefault="005D2361" w:rsidP="004D0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421" w:type="dxa"/>
          </w:tcPr>
          <w:p w:rsidR="005D2361" w:rsidRPr="005D2361" w:rsidRDefault="005D2361" w:rsidP="004D0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консультацій з суб’єктами державної регіональної політики, представниками заінтересованих сторін та </w:t>
            </w:r>
            <w:proofErr w:type="spellStart"/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бенефіціарами</w:t>
            </w:r>
            <w:proofErr w:type="spellEnd"/>
          </w:p>
        </w:tc>
        <w:tc>
          <w:tcPr>
            <w:tcW w:w="3191" w:type="dxa"/>
          </w:tcPr>
          <w:p w:rsidR="005D2361" w:rsidRPr="005D2361" w:rsidRDefault="005D2361" w:rsidP="005D23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</w:tr>
      <w:tr w:rsidR="005D2361" w:rsidRPr="005D2361" w:rsidTr="00404838">
        <w:tc>
          <w:tcPr>
            <w:tcW w:w="959" w:type="dxa"/>
          </w:tcPr>
          <w:p w:rsidR="005D2361" w:rsidRPr="005D2361" w:rsidRDefault="005D2361" w:rsidP="004D0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21" w:type="dxa"/>
          </w:tcPr>
          <w:p w:rsidR="005D2361" w:rsidRPr="005D2361" w:rsidRDefault="005D2361" w:rsidP="005D23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Стратегії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робочою групою </w:t>
            </w:r>
          </w:p>
        </w:tc>
        <w:tc>
          <w:tcPr>
            <w:tcW w:w="3191" w:type="dxa"/>
          </w:tcPr>
          <w:p w:rsidR="005D2361" w:rsidRPr="005D2361" w:rsidRDefault="005D2361" w:rsidP="004D0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</w:tr>
      <w:tr w:rsidR="005D2361" w:rsidRPr="005D2361" w:rsidTr="00404838">
        <w:tc>
          <w:tcPr>
            <w:tcW w:w="959" w:type="dxa"/>
          </w:tcPr>
          <w:p w:rsidR="005D2361" w:rsidRPr="005D2361" w:rsidRDefault="005D2361" w:rsidP="00EA3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21" w:type="dxa"/>
          </w:tcPr>
          <w:p w:rsidR="005D2361" w:rsidRPr="005D2361" w:rsidRDefault="005D2361" w:rsidP="00EA3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стратегічної екологічної оцінки </w:t>
            </w:r>
            <w:proofErr w:type="spellStart"/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 до Стратегії</w:t>
            </w:r>
          </w:p>
        </w:tc>
        <w:tc>
          <w:tcPr>
            <w:tcW w:w="3191" w:type="dxa"/>
          </w:tcPr>
          <w:p w:rsidR="005D2361" w:rsidRPr="005D2361" w:rsidRDefault="005D2361" w:rsidP="00EA3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необхідності </w:t>
            </w:r>
          </w:p>
        </w:tc>
      </w:tr>
      <w:tr w:rsidR="005D2361" w:rsidRPr="005D2361" w:rsidTr="00404838">
        <w:tc>
          <w:tcPr>
            <w:tcW w:w="959" w:type="dxa"/>
          </w:tcPr>
          <w:p w:rsidR="005D2361" w:rsidRPr="005D2361" w:rsidRDefault="005D2361" w:rsidP="00EA3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21" w:type="dxa"/>
          </w:tcPr>
          <w:p w:rsidR="005D2361" w:rsidRPr="005D2361" w:rsidRDefault="005D2361" w:rsidP="005D23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Стратегії та плану заходів</w:t>
            </w:r>
          </w:p>
        </w:tc>
        <w:tc>
          <w:tcPr>
            <w:tcW w:w="3191" w:type="dxa"/>
          </w:tcPr>
          <w:p w:rsidR="005D2361" w:rsidRPr="005D2361" w:rsidRDefault="005D2361" w:rsidP="00EA3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  <w:r w:rsidRPr="005D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404838" w:rsidRPr="00B96D18" w:rsidRDefault="00404838" w:rsidP="00404838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:rsidR="00B96D18" w:rsidRPr="00B96D18" w:rsidRDefault="00B96D18" w:rsidP="00B96D18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1D1D1B"/>
          <w:lang w:eastAsia="ru-RU"/>
        </w:rPr>
      </w:pPr>
      <w:r w:rsidRPr="00B96D18">
        <w:rPr>
          <w:rFonts w:ascii="Times New Roman" w:eastAsia="Times New Roman" w:hAnsi="Times New Roman" w:cs="Times New Roman"/>
          <w:color w:val="1D1D1B"/>
          <w:u w:val="single"/>
          <w:bdr w:val="none" w:sz="0" w:space="0" w:color="auto" w:frame="1"/>
          <w:lang w:eastAsia="ru-RU"/>
        </w:rPr>
        <w:t> </w:t>
      </w:r>
    </w:p>
    <w:p w:rsidR="00B96D18" w:rsidRPr="00B96D18" w:rsidRDefault="00B96D18" w:rsidP="00B96D18">
      <w:pPr>
        <w:shd w:val="clear" w:color="auto" w:fill="FFFFFF"/>
        <w:spacing w:after="0" w:line="405" w:lineRule="atLeast"/>
        <w:jc w:val="center"/>
        <w:textAlignment w:val="baseline"/>
        <w:rPr>
          <w:rFonts w:ascii="ProbaProRegular" w:eastAsia="Times New Roman" w:hAnsi="ProbaProRegular" w:cs="Times New Roman"/>
          <w:color w:val="1D1D1B"/>
          <w:sz w:val="27"/>
          <w:szCs w:val="27"/>
          <w:lang w:eastAsia="ru-RU"/>
        </w:rPr>
      </w:pPr>
      <w:r w:rsidRPr="00B96D18">
        <w:rPr>
          <w:rFonts w:ascii="ProbaProRegular" w:eastAsia="Times New Roman" w:hAnsi="ProbaProRegular" w:cs="Times New Roman"/>
          <w:color w:val="1D1D1B"/>
          <w:sz w:val="27"/>
          <w:szCs w:val="27"/>
          <w:u w:val="single"/>
          <w:bdr w:val="none" w:sz="0" w:space="0" w:color="auto" w:frame="1"/>
          <w:lang w:eastAsia="ru-RU"/>
        </w:rPr>
        <w:t> </w:t>
      </w:r>
    </w:p>
    <w:p w:rsidR="00DC1C4E" w:rsidRDefault="00DC1C4E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Pr="00782E73" w:rsidRDefault="00782E73" w:rsidP="0078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Додаток 1</w:t>
      </w:r>
    </w:p>
    <w:p w:rsidR="00782E73" w:rsidRPr="00782E73" w:rsidRDefault="00782E73" w:rsidP="00782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E73" w:rsidRPr="00782E73" w:rsidRDefault="00782E73" w:rsidP="00782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Пропозиції щодо завдань для досягнення оперативних цілей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Стратегії розвитку  </w:t>
      </w:r>
      <w:proofErr w:type="spellStart"/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Мирненської</w:t>
      </w:r>
      <w:proofErr w:type="spellEnd"/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територіальної громади 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період до 2027 року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1322"/>
        <w:gridCol w:w="1521"/>
        <w:gridCol w:w="1396"/>
        <w:gridCol w:w="1169"/>
        <w:gridCol w:w="71"/>
        <w:gridCol w:w="606"/>
        <w:gridCol w:w="10"/>
        <w:gridCol w:w="623"/>
        <w:gridCol w:w="10"/>
        <w:gridCol w:w="698"/>
        <w:gridCol w:w="10"/>
        <w:gridCol w:w="690"/>
        <w:gridCol w:w="1247"/>
      </w:tblGrid>
      <w:tr w:rsidR="00782E73" w:rsidRPr="00782E73" w:rsidTr="00782E73">
        <w:tc>
          <w:tcPr>
            <w:tcW w:w="1230" w:type="dxa"/>
            <w:vMerge w:val="restart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для досягнення цілі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Очікуваний результат виконання завдання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Термін виконання (досягнення), роки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Індикатори, од. виміру</w:t>
            </w:r>
          </w:p>
        </w:tc>
        <w:tc>
          <w:tcPr>
            <w:tcW w:w="3887" w:type="dxa"/>
            <w:gridSpan w:val="9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Цільове значення індикатора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Calibri" w:hAnsi="Times New Roman" w:cs="Calibri"/>
                <w:sz w:val="20"/>
                <w:szCs w:val="20"/>
                <w:lang w:val="uk-UA" w:eastAsia="ru-RU"/>
              </w:rPr>
              <w:t>Примітка (наприклад, проблемні питання)</w:t>
            </w:r>
          </w:p>
        </w:tc>
      </w:tr>
      <w:tr w:rsidR="00782E73" w:rsidRPr="00782E73" w:rsidTr="00782E73">
        <w:tc>
          <w:tcPr>
            <w:tcW w:w="1230" w:type="dxa"/>
            <w:vMerge/>
            <w:shd w:val="clear" w:color="auto" w:fill="auto"/>
          </w:tcPr>
          <w:p w:rsidR="00782E73" w:rsidRPr="00782E73" w:rsidRDefault="00782E73" w:rsidP="00782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782E73" w:rsidRPr="00782E73" w:rsidRDefault="00782E73" w:rsidP="00782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82E73" w:rsidRPr="00782E73" w:rsidRDefault="00782E73" w:rsidP="00782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782E73" w:rsidRPr="00782E73" w:rsidRDefault="00782E73" w:rsidP="00782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9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Базове значення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633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247" w:type="dxa"/>
            <w:vMerge/>
            <w:shd w:val="clear" w:color="auto" w:fill="auto"/>
          </w:tcPr>
          <w:p w:rsidR="00782E73" w:rsidRPr="00782E73" w:rsidRDefault="00782E73" w:rsidP="00782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2E73" w:rsidRPr="00782E73" w:rsidTr="00782E73">
        <w:tc>
          <w:tcPr>
            <w:tcW w:w="10603" w:type="dxa"/>
            <w:gridSpan w:val="14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Оперативна ціль</w:t>
            </w: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(№, назва)</w:t>
            </w:r>
          </w:p>
        </w:tc>
      </w:tr>
      <w:tr w:rsidR="00782E73" w:rsidRPr="00782E73" w:rsidTr="00782E73">
        <w:tc>
          <w:tcPr>
            <w:tcW w:w="123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1</w:t>
            </w:r>
          </w:p>
        </w:tc>
        <w:tc>
          <w:tcPr>
            <w:tcW w:w="1322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1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2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n</w:t>
            </w:r>
          </w:p>
        </w:tc>
        <w:tc>
          <w:tcPr>
            <w:tcW w:w="1521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1) індикатор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2) індикатор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2E73" w:rsidRPr="00782E73" w:rsidTr="00782E73">
        <w:tc>
          <w:tcPr>
            <w:tcW w:w="123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2</w:t>
            </w:r>
          </w:p>
        </w:tc>
        <w:tc>
          <w:tcPr>
            <w:tcW w:w="1322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1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2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n</w:t>
            </w:r>
          </w:p>
        </w:tc>
        <w:tc>
          <w:tcPr>
            <w:tcW w:w="1521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1) індикатор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2) індикатор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2E73" w:rsidRPr="00782E73" w:rsidTr="00782E73">
        <w:tc>
          <w:tcPr>
            <w:tcW w:w="123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N</w:t>
            </w:r>
          </w:p>
        </w:tc>
        <w:tc>
          <w:tcPr>
            <w:tcW w:w="1322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1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Результат 2 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n</w:t>
            </w:r>
          </w:p>
        </w:tc>
        <w:tc>
          <w:tcPr>
            <w:tcW w:w="1521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1) індикатор</w:t>
            </w:r>
          </w:p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2E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2) індикатор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782E73" w:rsidRPr="00782E73" w:rsidRDefault="00782E73" w:rsidP="0078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82E73" w:rsidRPr="00782E73" w:rsidRDefault="00782E73" w:rsidP="00782E73">
      <w:pPr>
        <w:rPr>
          <w:rFonts w:ascii="Calibri" w:eastAsia="Calibri" w:hAnsi="Calibri" w:cs="Calibri"/>
          <w:lang w:val="uk-UA" w:eastAsia="ru-RU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Default="00782E73" w:rsidP="00B96D18">
      <w:pPr>
        <w:rPr>
          <w:lang w:val="uk-UA"/>
        </w:rPr>
      </w:pPr>
    </w:p>
    <w:p w:rsidR="00782E73" w:rsidRPr="00782E73" w:rsidRDefault="00782E73" w:rsidP="00782E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r w:rsidRPr="00782E73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Пропозиції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Плану заходів з реалізації у 2026-2027 роках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Стратегії розвитку </w:t>
      </w:r>
      <w:proofErr w:type="spellStart"/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Мирненської</w:t>
      </w:r>
      <w:proofErr w:type="spellEnd"/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територіальної громади 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період до 2027 року</w:t>
      </w:r>
    </w:p>
    <w:p w:rsidR="00782E73" w:rsidRPr="00782E73" w:rsidRDefault="00782E73" w:rsidP="00782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397"/>
        <w:gridCol w:w="1559"/>
        <w:gridCol w:w="1559"/>
        <w:gridCol w:w="1559"/>
        <w:gridCol w:w="1560"/>
      </w:tblGrid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1. Номер технічного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2. Назва технічного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3. Номер і назва завдання з Державної стратегії регіонального розвитку, якому відповідає технічне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4. Номер і назва завдання з відповідної стратегії розвитку регіону, якому відповідає технічне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5. Територія, на яку реалізація </w:t>
            </w:r>
            <w:proofErr w:type="spellStart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 за технічним завданням матиме вплив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6. Опис проблеми, на вирішення якої спрямовано технічне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7. Очікувані кількісні результати від реалізації </w:t>
            </w:r>
            <w:proofErr w:type="spellStart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 на виконання технічного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8. Очікувані якісні результати від реалізації </w:t>
            </w:r>
            <w:proofErr w:type="spellStart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 на виконання технічного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9. Основні заходи технічного завдання</w:t>
            </w:r>
          </w:p>
        </w:tc>
        <w:tc>
          <w:tcPr>
            <w:tcW w:w="6237" w:type="dxa"/>
            <w:gridSpan w:val="4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10. Обсяг фінансування</w:t>
            </w:r>
          </w:p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 xml:space="preserve">технічного завдання, тис. </w:t>
            </w:r>
            <w:proofErr w:type="spellStart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державний бюджет: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державний фонд</w:t>
            </w:r>
          </w:p>
          <w:p w:rsidR="00782E73" w:rsidRPr="00782E73" w:rsidRDefault="00782E73" w:rsidP="00782E7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регіонального розвитку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інші джерела (кошти МТД)</w:t>
            </w: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73" w:rsidRPr="00782E73" w:rsidTr="00DF140D">
        <w:tc>
          <w:tcPr>
            <w:tcW w:w="3397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11. Інша інформація щодо</w:t>
            </w:r>
          </w:p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73">
              <w:rPr>
                <w:rFonts w:ascii="Times New Roman" w:hAnsi="Times New Roman" w:cs="Times New Roman"/>
                <w:sz w:val="24"/>
                <w:szCs w:val="24"/>
              </w:rPr>
              <w:t>технічного завдання</w:t>
            </w:r>
          </w:p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E73" w:rsidRPr="00782E73" w:rsidRDefault="00782E73" w:rsidP="0078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E73" w:rsidRPr="00782E73" w:rsidRDefault="00782E73" w:rsidP="0078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2E73" w:rsidRPr="00782E73" w:rsidRDefault="00782E73" w:rsidP="00782E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0"/>
    <w:p w:rsidR="00782E73" w:rsidRPr="00782E73" w:rsidRDefault="00782E73" w:rsidP="00B96D18">
      <w:pPr>
        <w:rPr>
          <w:lang w:val="uk-UA"/>
        </w:rPr>
      </w:pPr>
    </w:p>
    <w:sectPr w:rsidR="00782E73" w:rsidRPr="007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18"/>
    <w:rsid w:val="00404838"/>
    <w:rsid w:val="005D2361"/>
    <w:rsid w:val="00782E73"/>
    <w:rsid w:val="00B96D18"/>
    <w:rsid w:val="00D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D18"/>
    <w:rPr>
      <w:b/>
      <w:bCs/>
    </w:rPr>
  </w:style>
  <w:style w:type="table" w:styleId="a5">
    <w:name w:val="Table Grid"/>
    <w:basedOn w:val="a1"/>
    <w:uiPriority w:val="59"/>
    <w:rsid w:val="0040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782E7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D18"/>
    <w:rPr>
      <w:b/>
      <w:bCs/>
    </w:rPr>
  </w:style>
  <w:style w:type="table" w:styleId="a5">
    <w:name w:val="Table Grid"/>
    <w:basedOn w:val="a1"/>
    <w:uiPriority w:val="59"/>
    <w:rsid w:val="0040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782E7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09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C92C-7601-45F1-B78A-483B10EE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</dc:creator>
  <cp:lastModifiedBy>Василина</cp:lastModifiedBy>
  <cp:revision>3</cp:revision>
  <dcterms:created xsi:type="dcterms:W3CDTF">2026-05-20T10:45:00Z</dcterms:created>
  <dcterms:modified xsi:type="dcterms:W3CDTF">2026-05-20T12:47:00Z</dcterms:modified>
</cp:coreProperties>
</file>